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A9" w:rsidRPr="007333E9" w:rsidRDefault="00B227A9" w:rsidP="00B227A9">
      <w:pPr>
        <w:pStyle w:val="6-BriefTitle"/>
      </w:pPr>
      <w:r>
        <w:t>Dear Colleague from the Secretary of State for Transport – Northern Powerhouse and Transport (28 July 2017)</w:t>
      </w:r>
    </w:p>
    <w:p w:rsidR="00B227A9" w:rsidRDefault="00B227A9" w:rsidP="00B227A9"/>
    <w:p w:rsidR="00B227A9" w:rsidRDefault="00B227A9" w:rsidP="00B227A9">
      <w:pPr>
        <w:jc w:val="both"/>
      </w:pPr>
      <w:r>
        <w:t>Dear Colleague,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>I wanted to write to you following inaccurate reports that the Government was de-prioritising rail investment in the North of England.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>This Government is committed to investing in the Northern Powerhouse – this includes being fully committed to working with Transport for the North (</w:t>
      </w:r>
      <w:proofErr w:type="spellStart"/>
      <w:r>
        <w:t>TfN</w:t>
      </w:r>
      <w:proofErr w:type="spellEnd"/>
      <w:r>
        <w:t xml:space="preserve">) on plans for Northern Powerhouse Rail. We have already provided </w:t>
      </w:r>
      <w:proofErr w:type="spellStart"/>
      <w:r>
        <w:t>TfN</w:t>
      </w:r>
      <w:proofErr w:type="spellEnd"/>
      <w:r>
        <w:t xml:space="preserve"> with £60 million funding to develop plans for this important strategic national investment project. Over the coming years, we will work with </w:t>
      </w:r>
      <w:proofErr w:type="spellStart"/>
      <w:r>
        <w:t>TfN</w:t>
      </w:r>
      <w:proofErr w:type="spellEnd"/>
      <w:r>
        <w:t xml:space="preserve"> to make the business case as strong as possible to ensure this project delivers on our ambition of dramatically improving connections across the North and boosting the regional economy.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>Over the past week there have been claims that the Government is prioritising Crossrail 2 over Northern Powerhouse Rail: this is totally untrue.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 xml:space="preserve">The fact is that our position on Crossrail 2 and Northern Powerhouse Rail is the same – we’re working with Transport for London in exactly the same way as we’re working with </w:t>
      </w:r>
      <w:proofErr w:type="spellStart"/>
      <w:r>
        <w:t>TfN</w:t>
      </w:r>
      <w:proofErr w:type="spellEnd"/>
      <w:r>
        <w:t>. But, as Crossrail 2 has been nine years in the making, it is a few years ahead of Northern Powerhouse Rail, which was first mooted in 2013. That is the only difference.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>Crossrail 2 is at an early development stage and the business case will need to be approved before it progresses. It is our intention to work with both projects with the aim of delivering a more reliable railway that delivers for passengers and underpins economic growth.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>Furthermore, Northern Powerhouse Rail is not the only rail scheme that we are investing in within the North. Our current investment is being delivered through infrastructure and other upgrades including:</w:t>
      </w:r>
    </w:p>
    <w:p w:rsidR="00B227A9" w:rsidRDefault="00B227A9" w:rsidP="00B227A9">
      <w:pPr>
        <w:jc w:val="both"/>
      </w:pPr>
    </w:p>
    <w:p w:rsidR="00B227A9" w:rsidRDefault="00B227A9" w:rsidP="00B227A9">
      <w:pPr>
        <w:pStyle w:val="ListParagraph"/>
        <w:numPr>
          <w:ilvl w:val="0"/>
          <w:numId w:val="1"/>
        </w:numPr>
        <w:jc w:val="both"/>
      </w:pPr>
      <w:r>
        <w:t>Over £1 billion to upgrade one of the largest rail networks in the country through the Great North Rail Project – this has already delivered improvements between Liverpool and Manchester, including faster journey times and more seats, and will transform the North’s rail services by 2020.</w:t>
      </w:r>
    </w:p>
    <w:p w:rsidR="00B227A9" w:rsidRDefault="00B227A9" w:rsidP="00B227A9">
      <w:pPr>
        <w:pStyle w:val="ListParagraph"/>
        <w:numPr>
          <w:ilvl w:val="0"/>
          <w:numId w:val="1"/>
        </w:numPr>
        <w:jc w:val="both"/>
      </w:pPr>
      <w:r>
        <w:t xml:space="preserve">The Northern and </w:t>
      </w:r>
      <w:proofErr w:type="spellStart"/>
      <w:r>
        <w:t>TransPennine</w:t>
      </w:r>
      <w:proofErr w:type="spellEnd"/>
      <w:r>
        <w:t xml:space="preserve"> Express franchises are providing new trains, including more than 500 new carriages, room for 40,000 extra passengers and more than 2,000 extra services a week by 2020, including new fast services right across the region. This </w:t>
      </w:r>
      <w:r>
        <w:lastRenderedPageBreak/>
        <w:t>£1.2 billion package of investment will also deliver improvements to many of the region’s stations as well as rolling out free Wi-Fi at stations and on trains.</w:t>
      </w:r>
    </w:p>
    <w:p w:rsidR="00B227A9" w:rsidRDefault="00B227A9" w:rsidP="00B227A9">
      <w:pPr>
        <w:pStyle w:val="ListParagraph"/>
        <w:numPr>
          <w:ilvl w:val="0"/>
          <w:numId w:val="1"/>
        </w:numPr>
        <w:jc w:val="both"/>
      </w:pPr>
      <w:r>
        <w:t xml:space="preserve">Major upgrades to rail links across the Pennines, improving connections between key transport hubs in the North of England, including Manchester, Leeds and York. Plans for the </w:t>
      </w:r>
      <w:proofErr w:type="spellStart"/>
      <w:r>
        <w:t>Transpennine</w:t>
      </w:r>
      <w:proofErr w:type="spellEnd"/>
      <w:r>
        <w:t xml:space="preserve"> Route Upgrade are currently being designed and developed with input from Rail North, to enable us to deliver significant improvements to passengers from 2022. 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  <w:r>
        <w:t>This is an important period for the future of transport investment in the North. We are delivering a significant investment now, and are working with colleagues in the North to make plans for further investment in the years to come, and I look forward to working with you and your colleagues as these plans take shape.</w:t>
      </w:r>
    </w:p>
    <w:p w:rsidR="00B227A9" w:rsidRDefault="00B227A9" w:rsidP="00B227A9">
      <w:pPr>
        <w:jc w:val="both"/>
      </w:pPr>
    </w:p>
    <w:p w:rsidR="00B227A9" w:rsidRDefault="00B227A9" w:rsidP="00B227A9">
      <w:pPr>
        <w:jc w:val="both"/>
      </w:pPr>
    </w:p>
    <w:p w:rsidR="00B227A9" w:rsidRPr="00F52D7F" w:rsidRDefault="00B227A9" w:rsidP="00B227A9">
      <w:pPr>
        <w:jc w:val="center"/>
      </w:pPr>
      <w:r>
        <w:rPr>
          <w:b/>
        </w:rPr>
        <w:t xml:space="preserve">Chris Grayling MP </w:t>
      </w:r>
    </w:p>
    <w:p w:rsidR="00B227A9" w:rsidRPr="005E064A" w:rsidRDefault="00B227A9" w:rsidP="00B227A9">
      <w:pPr>
        <w:jc w:val="both"/>
        <w:rPr>
          <w:i/>
        </w:rPr>
      </w:pPr>
    </w:p>
    <w:p w:rsidR="00B227A9" w:rsidRDefault="00B227A9" w:rsidP="00B227A9"/>
    <w:p w:rsidR="00B227A9" w:rsidRDefault="00B227A9" w:rsidP="00B227A9">
      <w:pPr>
        <w:sectPr w:rsidR="00B227A9" w:rsidSect="00B227A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2127" w:right="1797" w:bottom="2410" w:left="1797" w:header="720" w:footer="720" w:gutter="0"/>
          <w:cols w:space="720"/>
          <w:docGrid w:linePitch="360"/>
        </w:sectPr>
      </w:pPr>
    </w:p>
    <w:p w:rsidR="00B227A9" w:rsidRPr="001D4263" w:rsidRDefault="00B227A9" w:rsidP="00B227A9"/>
    <w:p w:rsidR="00C26A81" w:rsidRDefault="00C26A81">
      <w:bookmarkStart w:id="0" w:name="_GoBack"/>
      <w:bookmarkEnd w:id="0"/>
    </w:p>
    <w:sectPr w:rsidR="00C26A81" w:rsidSect="007D1DD7">
      <w:type w:val="continuous"/>
      <w:pgSz w:w="11907" w:h="16840" w:code="9"/>
      <w:pgMar w:top="2127" w:right="1797" w:bottom="24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7F" w:rsidRDefault="00B22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D7" w:rsidRPr="00DA2F21" w:rsidRDefault="00B227A9" w:rsidP="007D1DD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7F" w:rsidRDefault="00B227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7F" w:rsidRDefault="00B22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D7" w:rsidRDefault="00B227A9" w:rsidP="00E22EA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7F" w:rsidRDefault="00B22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729"/>
    <w:multiLevelType w:val="hybridMultilevel"/>
    <w:tmpl w:val="CAC2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9"/>
    <w:rsid w:val="00B227A9"/>
    <w:rsid w:val="00C2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B9AF9-6838-426C-AE94-5D56B89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7A9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7A9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rsid w:val="00B227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7A9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rsid w:val="00B227A9"/>
    <w:pPr>
      <w:ind w:left="720"/>
    </w:pPr>
    <w:rPr>
      <w:rFonts w:ascii="Calibri" w:eastAsia="Calibri" w:hAnsi="Calibri" w:cs="Times New Roman"/>
      <w:color w:val="auto"/>
    </w:rPr>
  </w:style>
  <w:style w:type="paragraph" w:customStyle="1" w:styleId="6-BriefTitle">
    <w:name w:val="6 - Brief Title"/>
    <w:basedOn w:val="Normal"/>
    <w:link w:val="6-BriefTitleChar"/>
    <w:qFormat/>
    <w:rsid w:val="00B227A9"/>
    <w:pPr>
      <w:spacing w:line="276" w:lineRule="auto"/>
      <w:jc w:val="center"/>
    </w:pPr>
    <w:rPr>
      <w:rFonts w:asciiTheme="minorHAnsi" w:hAnsiTheme="minorHAnsi"/>
      <w:b/>
      <w:color w:val="065830"/>
      <w:sz w:val="48"/>
      <w:szCs w:val="48"/>
      <w:lang w:eastAsia="en-GB"/>
    </w:rPr>
  </w:style>
  <w:style w:type="character" w:customStyle="1" w:styleId="6-BriefTitleChar">
    <w:name w:val="6 - Brief Title Char"/>
    <w:basedOn w:val="DefaultParagraphFont"/>
    <w:link w:val="6-BriefTitle"/>
    <w:rsid w:val="00B227A9"/>
    <w:rPr>
      <w:rFonts w:eastAsia="Times New Roman" w:cs="Arial"/>
      <w:b/>
      <w:color w:val="065830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GOODWILL, Robert</dc:creator>
  <cp:keywords/>
  <dc:description/>
  <cp:lastModifiedBy>GOODWILL, Robert</cp:lastModifiedBy>
  <cp:revision>1</cp:revision>
  <dcterms:created xsi:type="dcterms:W3CDTF">2017-08-29T13:20:00Z</dcterms:created>
  <dcterms:modified xsi:type="dcterms:W3CDTF">2017-08-29T13:21:00Z</dcterms:modified>
</cp:coreProperties>
</file>